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left="4253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Formularz zgłoszenia wewnętrznego w Powiatowym Zarządzie Dróg w Wieluniu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Data i miejsce sporządzenia: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Imię i nazwisko zgłaszającego: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Dane kontaktowe: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 xml:space="preserve">Wskazanie sygnalisty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>(kontekst związany z pracą)</w:t>
            </w:r>
          </w:p>
          <w:p>
            <w:pPr>
              <w:pStyle w:val="ListParagraph"/>
              <w:widowControl/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7278298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pracownik; </w:t>
            </w:r>
          </w:p>
          <w:p>
            <w:pPr>
              <w:pStyle w:val="ListParagraph"/>
              <w:widowControl/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462074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pracownik tymczasowy;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1553694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osoba świadcząca pracę na innej podstawie niż stosunek pracy, w tym na podstawie  umowy cywilnoprawnej; </w:t>
            </w:r>
          </w:p>
          <w:p>
            <w:pPr>
              <w:pStyle w:val="ListParagraph"/>
              <w:widowControl/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0870367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przedsiębiorca; </w:t>
            </w:r>
          </w:p>
          <w:p>
            <w:pPr>
              <w:pStyle w:val="ListParagraph"/>
              <w:widowControl/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6555818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prokurent; </w:t>
            </w:r>
          </w:p>
          <w:p>
            <w:pPr>
              <w:pStyle w:val="ListParagraph"/>
              <w:widowControl/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94800697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akcjonariusz lub wspólnik;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6145878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członek organu osoby prawnej lub jednostki organizacyjnej nieposiadającej osobowości prawnej;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8772669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osoba świadcząca pracę pod nadzorem i kierownictwem wykonawcy, podwykonawcy lub dostawcy; </w:t>
            </w:r>
          </w:p>
          <w:p>
            <w:pPr>
              <w:pStyle w:val="ListParagraph"/>
              <w:widowControl/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1321720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stażysta;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1228958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praktykant;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7074793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wolontariusz; </w:t>
            </w:r>
          </w:p>
          <w:p>
            <w:pPr>
              <w:pStyle w:val="ListParagraph"/>
              <w:widowControl/>
              <w:tabs>
                <w:tab w:val="clear" w:pos="708"/>
                <w:tab w:val="left" w:pos="59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413624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i ich rodzin;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141" w:left="454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9621056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żołnierz w rozumieniu art. 2 pkt 39 ustawy z dnia 11 marca 2022 r. o obronie Ojczyzny.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Jakiego obszaru nieprawidłowości dotyczy zgłoszenie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7377746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korupcji;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6062324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zamówień publicznych;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1563389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usług, produktów i rynków finansowych;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2758344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przeciwdziałania praniu pieniędzy oraz finansowaniu terroryzmu;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5255139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bezpieczeństwa produktów i ich zgodności z wymogami;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8222150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bezpieczeństwa transportu;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9462667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ochrony środowiska;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1361476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ochrony radiologicznej i bezpieczeństwa jądrowego; </w:t>
            </w:r>
          </w:p>
          <w:p>
            <w:pPr>
              <w:pStyle w:val="ListParagraph"/>
              <w:widowControl/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9677865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bezpieczeństwa żywności i pasz;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713116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zdrowia i dobrostanu zwierząt;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2012905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zdrowia publicznego;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80782733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ochrony konsumentów;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12661403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ochrony prywatności i danych osobowych; 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3218891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bezpieczeństwa sieci i systemów teleinformatycznych; </w:t>
            </w:r>
          </w:p>
          <w:p>
            <w:pPr>
              <w:pStyle w:val="ListParagraph"/>
              <w:widowControl/>
              <w:tabs>
                <w:tab w:val="clear" w:pos="708"/>
                <w:tab w:val="left" w:pos="59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2240279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interesów finansowych Skarbu Państwa RP, jednostki samorządu terytorialnego oraz Unii Europejskiej; </w:t>
            </w:r>
          </w:p>
          <w:p>
            <w:pPr>
              <w:pStyle w:val="ListParagraph"/>
              <w:widowControl/>
              <w:tabs>
                <w:tab w:val="clear" w:pos="708"/>
                <w:tab w:val="left" w:pos="59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13381213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rynku wewnętrznego Unii Europejskiej, w tym publicznoprawnych zasad konkurencji </w:t>
              <w:br/>
              <w:t xml:space="preserve">i pomocy państwa oraz opodatkowania osób prawnych; </w:t>
            </w:r>
          </w:p>
          <w:p>
            <w:pPr>
              <w:pStyle w:val="ListParagraph"/>
              <w:widowControl/>
              <w:tabs>
                <w:tab w:val="clear" w:pos="708"/>
                <w:tab w:val="left" w:pos="59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3535771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>etyki pracowników</w:t>
            </w:r>
          </w:p>
          <w:p>
            <w:pPr>
              <w:pStyle w:val="ListParagraph"/>
              <w:widowControl/>
              <w:tabs>
                <w:tab w:val="clear" w:pos="708"/>
                <w:tab w:val="left" w:pos="596" w:leader="none"/>
              </w:tabs>
              <w:spacing w:lineRule="auto" w:line="276" w:before="0" w:after="0"/>
              <w:ind w:hanging="283" w:left="596"/>
              <w:contextualSpacing/>
              <w:jc w:val="both"/>
              <w:rPr>
                <w:rFonts w:ascii="Arial" w:hAnsi="Arial" w:cs="Arial"/>
              </w:rPr>
            </w:pPr>
            <w:sdt>
              <w:sdtPr>
                <w:id w:val="-8371446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konstytucyjnych wolności i praw człowieka i obywatela – występujące w stosunkach jednostki z organami władzy publicznej i niezwiązane z dziedzinami wskazanymi </w:t>
              <w:br/>
              <w:t xml:space="preserve">powyżej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Treść zgłoszenia</w:t>
            </w:r>
            <w:r>
              <w:rPr>
                <w:rFonts w:eastAsia="Calibri" w:cs="Arial" w:ascii="Arial" w:hAnsi="Arial"/>
                <w:b/>
                <w:bCs/>
                <w:sz w:val="22"/>
                <w:szCs w:val="22"/>
                <w:vertAlign w:val="superscript"/>
                <w:lang w:val="pl-PL" w:eastAsia="en-US" w:bidi="ar-SA"/>
              </w:rPr>
              <w:t>1)</w:t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76" w:before="0" w:after="0"/>
              <w:ind w:left="318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Fakultatywnie: dowody i świadkowie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Zgoda na ujawnienie tożsamości sygnalisty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osobom zaangażowanym w wyjaśnienie zgłoszenia spoza Komisji do spraw zgłaszanych przez sygnalistów</w:t>
            </w:r>
          </w:p>
          <w:p>
            <w:pPr>
              <w:pStyle w:val="ListParagraph"/>
              <w:widowControl/>
              <w:spacing w:lineRule="auto" w:line="276" w:before="0" w:after="0"/>
              <w:ind w:left="313"/>
              <w:contextualSpacing/>
              <w:jc w:val="left"/>
              <w:rPr>
                <w:rFonts w:ascii="Arial" w:hAnsi="Arial" w:cs="Arial"/>
              </w:rPr>
            </w:pPr>
            <w:sdt>
              <w:sdtPr>
                <w:id w:val="-3682188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>tak</w:t>
            </w:r>
          </w:p>
          <w:p>
            <w:pPr>
              <w:pStyle w:val="ListParagraph"/>
              <w:widowControl/>
              <w:spacing w:lineRule="auto" w:line="276" w:before="0" w:after="0"/>
              <w:ind w:left="313"/>
              <w:contextualSpacing/>
              <w:jc w:val="left"/>
              <w:rPr>
                <w:rFonts w:ascii="Arial" w:hAnsi="Arial" w:cs="Arial"/>
              </w:rPr>
            </w:pPr>
            <w:sdt>
              <w:sdtPr>
                <w:id w:val="10208986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22"/>
                <w:szCs w:val="22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  <w:t>Data i czytelny podpis osoby dokonującej zgłoszenia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284" w:left="284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Opis szczegółowy podejrzeń oraz okoliczności ich zajścia zgodnie z posiadaną wiedzą m.in.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31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dane osób, które dopuściły się naruszenia prawa, tj.: imię, nazwisko, miejsce pracy, komórka organizacyjna;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31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datę oraz miejsce zaistnienia naruszenia prawa lub datę i miejsce pozyskania informacji </w:t>
      </w:r>
      <w:bookmarkStart w:id="0" w:name="_GoBack"/>
      <w:bookmarkEnd w:id="0"/>
      <w:r>
        <w:rPr>
          <w:rFonts w:cs="Arial" w:ascii="Arial" w:hAnsi="Arial"/>
          <w:sz w:val="16"/>
          <w:szCs w:val="16"/>
        </w:rPr>
        <w:t>o naruszeniu prawa;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31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opis konkretnej sytuacji lub okoliczności stwarzających możliwość wystąpienia naruszenia prawa;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31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wskazanie ewentualnych świadków naruszenia prawa;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318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podanie danych osób, które mogły stać się ofiarami nieprawidłowości;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318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jakie skutki spowodowały lub mogą spowodować opisane nieprawidłowości </w:t>
      </w:r>
    </w:p>
    <w:p>
      <w:pPr>
        <w:pStyle w:val="Normal"/>
        <w:spacing w:before="0" w:after="16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onotype Corsiva">
    <w:charset w:val="ee"/>
    <w:family w:val="roman"/>
    <w:pitch w:val="variable"/>
  </w:font>
  <w:font w:name="Arial">
    <w:charset w:val="ee"/>
    <w:family w:val="roman"/>
    <w:pitch w:val="variable"/>
  </w:font>
  <w:font w:name="MS Gothic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310f"/>
    <w:pPr>
      <w:widowControl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qFormat/>
    <w:rsid w:val="00bf52e5"/>
    <w:pPr>
      <w:spacing w:lineRule="auto" w:line="240" w:before="0" w:after="0"/>
      <w:ind w:left="2880"/>
    </w:pPr>
    <w:rPr>
      <w:rFonts w:ascii="Monotype Corsiva" w:hAnsi="Monotype Corsiva" w:eastAsia="" w:cs="" w:cstheme="majorBidi" w:eastAsiaTheme="majorEastAsia"/>
      <w:b/>
      <w:i/>
      <w:sz w:val="32"/>
      <w:szCs w:val="24"/>
    </w:rPr>
  </w:style>
  <w:style w:type="paragraph" w:styleId="ListParagraph">
    <w:name w:val="List Paragraph"/>
    <w:basedOn w:val="Normal"/>
    <w:uiPriority w:val="34"/>
    <w:qFormat/>
    <w:rsid w:val="0055310f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531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LibreOffice/7.6.4.1$Windows_X86_64 LibreOffice_project/e19e193f88cd6c0525a17fb7a176ed8e6a3e2aa1</Application>
  <AppVersion>15.0000</AppVersion>
  <Pages>2</Pages>
  <Words>392</Words>
  <Characters>2609</Characters>
  <CharactersWithSpaces>3012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2024-09-18T05:38:00Z</dcterms:created>
  <dc:creator>kadry@pzdwielun.pl</dc:creator>
  <dc:description/>
  <dc:language>pl-PL</dc:language>
  <cp:lastModifiedBy/>
  <dcterms:modified xsi:type="dcterms:W3CDTF">2024-09-18T13:04:50Z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